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694D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rPr>
          <w:rFonts w:hint="default" w:ascii="Times New Roman" w:hAnsi="Times New Roman" w:eastAsia="方正小标宋简体" w:cs="Times New Roman"/>
          <w:b w:val="0"/>
          <w:bCs w:val="0"/>
          <w:color w:val="auto"/>
          <w:spacing w:val="-7"/>
          <w:sz w:val="44"/>
          <w:szCs w:val="44"/>
          <w:highlight w:val="none"/>
          <w:u w:val="none"/>
          <w:lang w:val="en-US" w:eastAsia="zh-CN"/>
        </w:rPr>
      </w:pPr>
      <w:bookmarkStart w:id="0" w:name="_GoBack"/>
      <w:bookmarkEnd w:id="0"/>
      <w:r>
        <w:rPr>
          <w:rFonts w:hint="default" w:ascii="Times New Roman" w:hAnsi="Times New Roman" w:eastAsia="方正小标宋简体" w:cs="Times New Roman"/>
          <w:b w:val="0"/>
          <w:bCs w:val="0"/>
          <w:color w:val="auto"/>
          <w:spacing w:val="-7"/>
          <w:sz w:val="44"/>
          <w:szCs w:val="44"/>
          <w:highlight w:val="none"/>
          <w:u w:val="none"/>
          <w:lang w:val="en-US" w:eastAsia="zh-CN"/>
        </w:rPr>
        <w:t>乌海市分散供养特困人员照料护理服务</w:t>
      </w:r>
    </w:p>
    <w:p w14:paraId="12BEEC7B">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rPr>
          <w:rFonts w:hint="eastAsia" w:ascii="仿宋_GB2312" w:hAnsi="仿宋_GB2312" w:eastAsia="仿宋_GB2312" w:cs="仿宋_GB2312"/>
          <w:b w:val="0"/>
          <w:bCs w:val="0"/>
          <w:color w:val="auto"/>
          <w:spacing w:val="-7"/>
          <w:sz w:val="32"/>
          <w:szCs w:val="32"/>
          <w:highlight w:val="none"/>
          <w:u w:val="none"/>
          <w:lang w:val="en-US" w:eastAsia="zh-CN"/>
        </w:rPr>
      </w:pPr>
      <w:r>
        <w:rPr>
          <w:rFonts w:hint="eastAsia" w:ascii="Times New Roman" w:hAnsi="Times New Roman" w:eastAsia="方正小标宋简体" w:cs="Times New Roman"/>
          <w:b w:val="0"/>
          <w:bCs w:val="0"/>
          <w:color w:val="auto"/>
          <w:spacing w:val="-7"/>
          <w:sz w:val="44"/>
          <w:szCs w:val="44"/>
          <w:highlight w:val="none"/>
          <w:u w:val="none"/>
          <w:lang w:val="en-US" w:eastAsia="zh-CN"/>
        </w:rPr>
        <w:t>评价细则</w:t>
      </w:r>
      <w:r>
        <w:rPr>
          <w:rFonts w:hint="eastAsia" w:ascii="仿宋_GB2312" w:hAnsi="仿宋_GB2312" w:eastAsia="仿宋_GB2312" w:cs="仿宋_GB2312"/>
          <w:b w:val="0"/>
          <w:bCs w:val="0"/>
          <w:color w:val="auto"/>
          <w:spacing w:val="-7"/>
          <w:sz w:val="32"/>
          <w:szCs w:val="32"/>
          <w:highlight w:val="none"/>
          <w:u w:val="none"/>
          <w:lang w:val="en-US" w:eastAsia="zh-CN"/>
        </w:rPr>
        <w:t>（征求意见稿）</w:t>
      </w:r>
    </w:p>
    <w:p w14:paraId="7D10264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0" w:firstLineChars="0"/>
        <w:jc w:val="center"/>
        <w:textAlignment w:val="baseline"/>
        <w:rPr>
          <w:rFonts w:hint="eastAsia" w:ascii="仿宋_GB2312" w:hAnsi="仿宋_GB2312" w:eastAsia="仿宋_GB2312" w:cs="仿宋_GB2312"/>
          <w:b w:val="0"/>
          <w:bCs w:val="0"/>
          <w:color w:val="auto"/>
          <w:spacing w:val="-7"/>
          <w:sz w:val="44"/>
          <w:szCs w:val="44"/>
          <w:highlight w:val="none"/>
          <w:u w:val="none"/>
          <w:lang w:val="en-US" w:eastAsia="zh-CN"/>
        </w:rPr>
      </w:pPr>
    </w:p>
    <w:p w14:paraId="27D6BB7A">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为进一步加强分散供养特困人员照料护理服务，明确分散供养特困人员照料护理服务内容，完善照料服务措施，强化监督管理，压实照料护理责任，确保分散供养特困人员“平日有人照应、安全有人关注、生病有人看护”，根据《乌海市关于进一步健全特困人员救助供养制定的实施意见》（乌海政办发〔2016〕92号）和《民政部关于加强分散供养特困人员照料服务的通知》（民发〔2019〕124号）等文件要求，结合我市实际，制定以下评价细则。</w:t>
      </w:r>
    </w:p>
    <w:p w14:paraId="73CF72EA">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eastAsia" w:ascii="黑体" w:hAnsi="黑体" w:eastAsia="黑体" w:cs="黑体"/>
          <w:color w:val="auto"/>
          <w:spacing w:val="-5"/>
          <w:sz w:val="32"/>
          <w:szCs w:val="32"/>
          <w:highlight w:val="none"/>
          <w:u w:val="none"/>
          <w:lang w:val="en-US" w:eastAsia="zh-CN"/>
        </w:rPr>
      </w:pPr>
      <w:r>
        <w:rPr>
          <w:rFonts w:hint="eastAsia" w:ascii="黑体" w:hAnsi="黑体" w:eastAsia="黑体" w:cs="黑体"/>
          <w:color w:val="auto"/>
          <w:spacing w:val="-5"/>
          <w:sz w:val="32"/>
          <w:szCs w:val="32"/>
          <w:highlight w:val="none"/>
          <w:u w:val="none"/>
          <w:lang w:val="en-US" w:eastAsia="zh-CN"/>
        </w:rPr>
        <w:t>一、评价流程</w:t>
      </w:r>
    </w:p>
    <w:p w14:paraId="3371FDB7">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分散供养特困人员照料护理服务评价工作实行定期评价，评价结果由分散供养特困人员和照料护理责任人确认签字。</w:t>
      </w:r>
    </w:p>
    <w:p w14:paraId="52AE4C93">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定期评价：由镇（街道）联合村（居）委会，通过现场评价的方式进行，对完全丧失自理能力的特困人员照料护理情况每月开展一次，对部分丧失自理能力的特困人员照料护理情况每季度开展一次，评价人员不少于2人。</w:t>
      </w:r>
    </w:p>
    <w:p w14:paraId="456CCE55">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评价复核：对评价结果有异议的，可在收到评价结果之日起5个工作日内向镇（街道）提出复核申请，镇（街道）应在10个工作日内组织复核，结合邻里走访综合判定，并出具复核意见。</w:t>
      </w:r>
    </w:p>
    <w:p w14:paraId="58ACDFBD">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黑体" w:hAnsi="黑体" w:eastAsia="黑体" w:cs="黑体"/>
          <w:color w:val="auto"/>
          <w:spacing w:val="-5"/>
          <w:sz w:val="32"/>
          <w:szCs w:val="32"/>
          <w:highlight w:val="none"/>
          <w:u w:val="none"/>
          <w:lang w:val="en-US" w:eastAsia="zh-CN"/>
        </w:rPr>
      </w:pPr>
      <w:r>
        <w:rPr>
          <w:rFonts w:hint="default" w:ascii="黑体" w:hAnsi="黑体" w:eastAsia="黑体" w:cs="黑体"/>
          <w:color w:val="auto"/>
          <w:spacing w:val="-5"/>
          <w:sz w:val="32"/>
          <w:szCs w:val="32"/>
          <w:highlight w:val="none"/>
          <w:u w:val="none"/>
          <w:lang w:val="en-US" w:eastAsia="zh-CN"/>
        </w:rPr>
        <w:t>二、评价等级与结果应用</w:t>
      </w:r>
    </w:p>
    <w:p w14:paraId="542C7704">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评价采用百分制方式进行，满分100分，依据《乌海市分散供养特困人员委托照料服务评价表》（见附件）开展，80分及以上为合格，80分以下为不合格。</w:t>
      </w:r>
    </w:p>
    <w:p w14:paraId="1C7EED6C">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评价合格，继续发放护理补贴。评价不合格或发现照料护理责任人严重侵害分散供养特困人员利益的，及时解除照料护理服务协议，取消其照料护理服务资格，更换照料护理责任人或转入集中供养。对更换照料护理责任人2次且还评价不合格的，原则上对特困人员进行集中供养。</w:t>
      </w:r>
    </w:p>
    <w:p w14:paraId="5E819B90">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黑体" w:hAnsi="黑体" w:eastAsia="黑体" w:cs="黑体"/>
          <w:color w:val="auto"/>
          <w:spacing w:val="-5"/>
          <w:sz w:val="32"/>
          <w:szCs w:val="32"/>
          <w:highlight w:val="none"/>
          <w:u w:val="none"/>
          <w:lang w:val="en-US" w:eastAsia="zh-CN"/>
        </w:rPr>
      </w:pPr>
      <w:r>
        <w:rPr>
          <w:rFonts w:hint="default" w:ascii="黑体" w:hAnsi="黑体" w:eastAsia="黑体" w:cs="黑体"/>
          <w:color w:val="auto"/>
          <w:spacing w:val="-5"/>
          <w:sz w:val="32"/>
          <w:szCs w:val="32"/>
          <w:highlight w:val="none"/>
          <w:u w:val="none"/>
          <w:lang w:val="en-US" w:eastAsia="zh-CN"/>
        </w:rPr>
        <w:t>三、特殊情形处理</w:t>
      </w:r>
    </w:p>
    <w:p w14:paraId="65DB12EA">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若照料护理责任人存在以下行为，直接认定为不合格，并解除委托照料服务协议，终止其监护和照料权利，更换照料护理责任人或转入集中供养：</w:t>
      </w:r>
    </w:p>
    <w:p w14:paraId="2DBDEEF8">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1.照料护理责任人将分散供养特困人员长期委托给他人或其他机构照护的；</w:t>
      </w:r>
    </w:p>
    <w:p w14:paraId="0DD4A07C">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2.侵占、挪用特困人员财产的（如补贴资金、个人物品等）；</w:t>
      </w:r>
    </w:p>
    <w:p w14:paraId="750C674F">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3.拒绝配合工作人员开展相关工作的；</w:t>
      </w:r>
    </w:p>
    <w:p w14:paraId="28CA8FF8">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4.因疏忽导致特困人员生命健康受到威胁的（如饥饿、冻坏、摔伤等）；</w:t>
      </w:r>
    </w:p>
    <w:p w14:paraId="5B45FDF6">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zh-CN"/>
        </w:rPr>
      </w:pPr>
      <w:r>
        <w:rPr>
          <w:rFonts w:hint="default" w:ascii="Times New Roman" w:hAnsi="Times New Roman" w:eastAsia="仿宋_GB2312" w:cs="Times New Roman"/>
          <w:color w:val="auto"/>
          <w:spacing w:val="-5"/>
          <w:sz w:val="32"/>
          <w:szCs w:val="32"/>
          <w:highlight w:val="none"/>
          <w:u w:val="none"/>
          <w:lang w:val="en-US" w:eastAsia="zh-CN"/>
        </w:rPr>
        <w:t>5.虐待、遗弃或故意伤害特困人员等恶意行为的；</w:t>
      </w:r>
    </w:p>
    <w:p w14:paraId="30CD6AC7">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en-US"/>
        </w:rPr>
      </w:pPr>
      <w:r>
        <w:rPr>
          <w:rFonts w:hint="default" w:ascii="Times New Roman" w:hAnsi="Times New Roman" w:eastAsia="仿宋_GB2312" w:cs="Times New Roman"/>
          <w:color w:val="auto"/>
          <w:spacing w:val="-5"/>
          <w:sz w:val="32"/>
          <w:szCs w:val="32"/>
          <w:highlight w:val="none"/>
          <w:u w:val="none"/>
          <w:lang w:val="en-US" w:eastAsia="zh-CN"/>
        </w:rPr>
        <w:t>本细则内容由市民政局负责解释，如有未尽事宜可各区民政局结合地方实际进行补充，补充内容由各区民政局进行解释。</w:t>
      </w:r>
    </w:p>
    <w:p w14:paraId="09301C12">
      <w:pPr>
        <w:keepNext w:val="0"/>
        <w:keepLines w:val="0"/>
        <w:pageBreakBefore w:val="0"/>
        <w:widowControl/>
        <w:kinsoku/>
        <w:wordWrap/>
        <w:overflowPunct/>
        <w:topLinePunct w:val="0"/>
        <w:autoSpaceDE w:val="0"/>
        <w:autoSpaceDN w:val="0"/>
        <w:bidi w:val="0"/>
        <w:adjustRightInd w:val="0"/>
        <w:snapToGrid w:val="0"/>
        <w:spacing w:line="540" w:lineRule="exact"/>
        <w:ind w:firstLine="620" w:firstLineChars="200"/>
        <w:textAlignment w:val="baseline"/>
        <w:rPr>
          <w:rFonts w:hint="default" w:ascii="Times New Roman" w:hAnsi="Times New Roman" w:eastAsia="仿宋_GB2312" w:cs="Times New Roman"/>
          <w:color w:val="auto"/>
          <w:spacing w:val="-5"/>
          <w:sz w:val="32"/>
          <w:szCs w:val="32"/>
          <w:highlight w:val="none"/>
          <w:u w:val="none"/>
          <w:lang w:val="en-US" w:eastAsia="en-US"/>
        </w:rPr>
      </w:pPr>
    </w:p>
    <w:p w14:paraId="749936B1">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28"/>
        </w:rPr>
        <w:t>附件：1.乌海市分散供养特困人员委托照料服务评价表</w:t>
      </w:r>
    </w:p>
    <w:p w14:paraId="29B66DA9">
      <w:pPr>
        <w:keepNext w:val="0"/>
        <w:keepLines w:val="0"/>
        <w:pageBreakBefore w:val="0"/>
        <w:widowControl w:val="0"/>
        <w:kinsoku/>
        <w:wordWrap/>
        <w:overflowPunct/>
        <w:topLinePunct w:val="0"/>
        <w:autoSpaceDE/>
        <w:autoSpaceDN/>
        <w:bidi w:val="0"/>
        <w:adjustRightInd/>
        <w:snapToGrid/>
        <w:spacing w:line="540" w:lineRule="exact"/>
        <w:ind w:left="1920" w:leftChars="500" w:hanging="320" w:hangingChars="100"/>
        <w:textAlignment w:val="auto"/>
        <w:rPr>
          <w:rFonts w:hint="default" w:ascii="Times New Roman" w:hAnsi="Times New Roman"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sz w:val="32"/>
          <w:szCs w:val="28"/>
        </w:rPr>
        <w:t>2.乌海市分散供养特困人员委托照料服务评价结果汇总表</w:t>
      </w:r>
    </w:p>
    <w:sectPr>
      <w:footerReference r:id="rId5" w:type="default"/>
      <w:footerReference r:id="rId6" w:type="even"/>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A37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A38281">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A38281">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ACB8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B1BCE">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2</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AB1BCE">
                    <w:pPr>
                      <w:pStyle w:val="3"/>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2</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117B0"/>
    <w:rsid w:val="0638207B"/>
    <w:rsid w:val="15205ED3"/>
    <w:rsid w:val="193163BA"/>
    <w:rsid w:val="1B2304CB"/>
    <w:rsid w:val="1F347F2B"/>
    <w:rsid w:val="2D352AA5"/>
    <w:rsid w:val="2D36424D"/>
    <w:rsid w:val="2F3E2AE4"/>
    <w:rsid w:val="2FEA3B01"/>
    <w:rsid w:val="306163E6"/>
    <w:rsid w:val="410A5CC2"/>
    <w:rsid w:val="436A54E9"/>
    <w:rsid w:val="46026DAB"/>
    <w:rsid w:val="46FC710A"/>
    <w:rsid w:val="4C7E2EB5"/>
    <w:rsid w:val="4CA566E2"/>
    <w:rsid w:val="53B41F40"/>
    <w:rsid w:val="67C14030"/>
    <w:rsid w:val="7615092E"/>
    <w:rsid w:val="7BB13CF6"/>
    <w:rsid w:val="7D011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5"/>
      <w:szCs w:val="2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1234</Words>
  <Characters>1267</Characters>
  <Lines>0</Lines>
  <Paragraphs>0</Paragraphs>
  <TotalTime>197</TotalTime>
  <ScaleCrop>false</ScaleCrop>
  <LinksUpToDate>false</LinksUpToDate>
  <CharactersWithSpaces>1319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2025-04-11T01:30:00Z</dcterms:created>
  <dc:creator>♚</dc:creator>
  <cp:lastModifiedBy>♚</cp:lastModifiedBy>
  <cp:lastPrinted>2025-12-02T04:03:00Z</cp:lastPrinted>
  <dcterms:modified xsi:type="dcterms:W3CDTF">2025-12-08T04:07:21Z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C23734F2C1264975A344E02B4C975FC1_13</vt:lpwstr>
  </property>
  <property fmtid="{D5CDD505-2E9C-101B-9397-08002B2CF9AE}" pid="4" name="KSOTemplateDocerSaveRecord">
    <vt:lpwstr>eyJoZGlkIjoiMTZhOGMxYmE4YWI0OTdkNjRhNTVhN2UxOGY0NzVmYjAiLCJ1c2VySWQiOiIyMzk1OTEzNjcifQ==</vt:lpwstr>
  </property>
</Properties>
</file>